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480" w:lineRule="atLeast"/>
        <w:ind w:left="316" w:right="316"/>
        <w:jc w:val="center"/>
        <w:rPr>
          <w:rFonts w:hint="eastAsia" w:ascii="方正小标宋_GBK" w:hAnsi="方正小标宋_GBK" w:eastAsia="方正小标宋_GBK" w:cs="方正小标宋_GBK"/>
          <w:b w:val="0"/>
          <w:color w:val="000000"/>
          <w:sz w:val="44"/>
          <w:szCs w:val="44"/>
        </w:rPr>
      </w:pPr>
      <w:r>
        <w:rPr>
          <w:rFonts w:hint="eastAsia" w:ascii="方正小标宋_GBK" w:hAnsi="方正小标宋_GBK" w:eastAsia="方正小标宋_GBK" w:cs="方正小标宋_GBK"/>
          <w:b w:val="0"/>
          <w:i w:val="0"/>
          <w:caps w:val="0"/>
          <w:color w:val="000000"/>
          <w:spacing w:val="0"/>
          <w:sz w:val="44"/>
          <w:szCs w:val="44"/>
        </w:rPr>
        <w:t>关于印发福建省医疗机构制剂配制日常监督管理暂行规定的通知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376" w:afterAutospacing="0"/>
        <w:ind w:left="316" w:right="316"/>
        <w:jc w:val="right"/>
        <w:rPr>
          <w:rFonts w:hint="eastAsia" w:ascii="仿宋_GB2312" w:hAnsi="仿宋_GB2312" w:eastAsia="仿宋_GB2312" w:cs="仿宋_GB2312"/>
          <w:color w:val="999999"/>
          <w:sz w:val="32"/>
          <w:szCs w:val="32"/>
        </w:rPr>
      </w:pPr>
      <w:r>
        <w:rPr>
          <w:rFonts w:hint="eastAsia" w:ascii="仿宋_GB2312" w:hAnsi="仿宋_GB2312" w:eastAsia="仿宋_GB2312" w:cs="仿宋_GB2312"/>
          <w:i w:val="0"/>
          <w:caps w:val="0"/>
          <w:color w:val="333333"/>
          <w:spacing w:val="0"/>
          <w:sz w:val="32"/>
          <w:szCs w:val="32"/>
          <w:shd w:val="clear" w:fill="E8F3FD"/>
        </w:rPr>
        <w:t>闽食药监安〔2009〕10号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各设区市食品药品监督管理局: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5" w:lineRule="atLeas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为加强医疗机构制剂配制的监督管理,省局制定了《福建省医疗机构制剂配制日常监督管理暂行规定》,现印发给你们,请遵照执行。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二OO九年一月七日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eastAsia="宋体" w:cs="Arial"/>
          <w:i w:val="0"/>
          <w:caps w:val="0"/>
          <w:color w:val="333333"/>
          <w:spacing w:val="0"/>
          <w:kern w:val="0"/>
          <w:sz w:val="27"/>
          <w:szCs w:val="27"/>
          <w:lang w:val="en-US" w:eastAsia="zh-CN" w:bidi="ar"/>
        </w:rPr>
      </w:pPr>
      <w:r>
        <w:rPr>
          <w:rFonts w:hint="default" w:ascii="Arial" w:hAnsi="Arial" w:eastAsia="宋体" w:cs="Arial"/>
          <w:i w:val="0"/>
          <w:caps w:val="0"/>
          <w:color w:val="333333"/>
          <w:spacing w:val="0"/>
          <w:kern w:val="0"/>
          <w:sz w:val="27"/>
          <w:szCs w:val="27"/>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eastAsia="宋体" w:cs="Arial"/>
          <w:i w:val="0"/>
          <w:caps w:val="0"/>
          <w:color w:val="333333"/>
          <w:spacing w:val="0"/>
          <w:kern w:val="0"/>
          <w:sz w:val="27"/>
          <w:szCs w:val="27"/>
          <w:lang w:val="en-US" w:eastAsia="zh-CN" w:bidi="ar"/>
        </w:rPr>
      </w:pP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eastAsia="宋体" w:cs="Arial"/>
          <w:i w:val="0"/>
          <w:caps w:val="0"/>
          <w:color w:val="333333"/>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eastAsia" w:ascii="方正小标宋_GBK" w:hAnsi="方正小标宋_GBK" w:eastAsia="方正小标宋_GBK" w:cs="方正小标宋_GBK"/>
          <w:i w:val="0"/>
          <w:caps w:val="0"/>
          <w:color w:val="333333"/>
          <w:spacing w:val="0"/>
          <w:sz w:val="36"/>
          <w:szCs w:val="36"/>
        </w:rPr>
      </w:pPr>
      <w:r>
        <w:rPr>
          <w:rFonts w:hint="eastAsia" w:ascii="方正小标宋_GBK" w:hAnsi="方正小标宋_GBK" w:eastAsia="方正小标宋_GBK" w:cs="方正小标宋_GBK"/>
          <w:i w:val="0"/>
          <w:caps w:val="0"/>
          <w:color w:val="333333"/>
          <w:spacing w:val="0"/>
          <w:kern w:val="0"/>
          <w:sz w:val="36"/>
          <w:szCs w:val="36"/>
          <w:lang w:val="en-US" w:eastAsia="zh-CN" w:bidi="ar"/>
        </w:rPr>
        <w:t>福建省医疗机构制剂配制日常监督管理暂行规定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第一条</w:t>
      </w:r>
      <w:r>
        <w:rPr>
          <w:rFonts w:hint="default" w:ascii="Arial" w:hAnsi="Arial" w:eastAsia="宋体" w:cs="Arial"/>
          <w:i w:val="0"/>
          <w:caps w:val="0"/>
          <w:color w:val="333333"/>
          <w:spacing w:val="0"/>
          <w:kern w:val="0"/>
          <w:sz w:val="27"/>
          <w:szCs w:val="27"/>
          <w:lang w:val="en-US" w:eastAsia="zh-CN" w:bidi="ar"/>
        </w:rPr>
        <w:t> 为加强对医疗机构制剂配制的监督管理,规范各级食品药品监督管理部门日常监督管理行为,根据《药品管理法》、《药品管理法实施条例》、《医疗机构制剂配制质量管理规范（试行）》、《医疗机构制剂配制监督管理办法（试行）》等规定,结合本省实际,制定本规定。</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b/>
          <w:i w:val="0"/>
          <w:caps w:val="0"/>
          <w:color w:val="333333"/>
          <w:spacing w:val="0"/>
          <w:kern w:val="0"/>
          <w:sz w:val="27"/>
          <w:szCs w:val="27"/>
          <w:lang w:val="en-US" w:eastAsia="zh-CN" w:bidi="ar"/>
        </w:rPr>
        <w:t>第二条</w:t>
      </w:r>
      <w:r>
        <w:rPr>
          <w:rFonts w:hint="default" w:ascii="Arial" w:hAnsi="Arial" w:eastAsia="宋体" w:cs="Arial"/>
          <w:i w:val="0"/>
          <w:caps w:val="0"/>
          <w:color w:val="333333"/>
          <w:spacing w:val="0"/>
          <w:kern w:val="0"/>
          <w:sz w:val="27"/>
          <w:szCs w:val="27"/>
          <w:lang w:val="en-US" w:eastAsia="zh-CN" w:bidi="ar"/>
        </w:rPr>
        <w:t> 医疗机构制剂配制日常监督管理是指食品药品监督管理部门依法对本省持有《医疗机构制剂许可证》的医疗机构制剂室(下称制剂室)的制剂配制条件和配制过程进行日常监督检查和管理。《医疗机构制剂许可证》的申请、核发、变更及制剂委托配制管理按照国家局《医疗机构制剂配制监督管理办法(试行)》有关规定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第二章  日常监督管理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第三条</w:t>
      </w:r>
      <w:r>
        <w:rPr>
          <w:rFonts w:hint="default" w:ascii="Arial" w:hAnsi="Arial" w:eastAsia="宋体" w:cs="Arial"/>
          <w:i w:val="0"/>
          <w:caps w:val="0"/>
          <w:color w:val="333333"/>
          <w:spacing w:val="0"/>
          <w:kern w:val="0"/>
          <w:sz w:val="27"/>
          <w:szCs w:val="27"/>
          <w:lang w:val="en-US" w:eastAsia="zh-CN" w:bidi="ar"/>
        </w:rPr>
        <w:t> 日常监督管理分为许可监督检查和日常监督检查(含有因检查)。许可监督检查是指食品药品监督管理部门依法对被许可人从事行政许可事项活动进行监督检查,包括核发、换发、变更《医疗机构制剂许可证》现场检查、核查、委托配制情况检查等。日常监督检查是对制剂室执行有关法律、法规、规章情况,实施《医疗机构制剂配制质量管理规范(试行)》的情况进行的监督检查。有因监督检查是有原因、不受检查频次限制的监督检查,包括投诉处理、制剂质量抽验中不合格品的追踪检查、制剂质量事故及不良反应现场调查等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b/>
          <w:i w:val="0"/>
          <w:caps w:val="0"/>
          <w:color w:val="333333"/>
          <w:spacing w:val="0"/>
          <w:kern w:val="0"/>
          <w:sz w:val="27"/>
          <w:szCs w:val="27"/>
          <w:lang w:val="en-US" w:eastAsia="zh-CN" w:bidi="ar"/>
        </w:rPr>
        <w:t>第四条</w:t>
      </w:r>
      <w:r>
        <w:rPr>
          <w:rFonts w:hint="default" w:ascii="Arial" w:hAnsi="Arial" w:eastAsia="宋体" w:cs="Arial"/>
          <w:i w:val="0"/>
          <w:caps w:val="0"/>
          <w:color w:val="333333"/>
          <w:spacing w:val="0"/>
          <w:kern w:val="0"/>
          <w:sz w:val="27"/>
          <w:szCs w:val="27"/>
          <w:lang w:val="en-US" w:eastAsia="zh-CN" w:bidi="ar"/>
        </w:rPr>
        <w:t> 制剂配制日常监督管理按照属地监管原则,实行分级负责。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省食品药品监督管理局负责全省医疗机构制剂配制日常监督管理工作相关配套管理制度的制定、指导和监督实施;负责组织实施核发、换发、变更《医疗机构制剂许可证》检查、有因检查、专项检查,负责国家局交办或授权的监督检查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设区市食品药品监督管理局负责本辖区内医疗机构制剂配制日常监督检查和管理,对制剂室执行有关法律、法规、规章情况,实施《医疗机构制剂配制质量管理规范(试行)》的情况进行监督管理;协助省局组织对辖区内制剂室的行政许可项目检查、有因检查、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县(市) 食品药品监督管理局根据设区市食品药品监督管理局的统一部署、配合、协助设区市局对辖区内制剂室进行日常监督管理。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第五条</w:t>
      </w:r>
      <w:r>
        <w:rPr>
          <w:rFonts w:hint="default" w:ascii="Arial" w:hAnsi="Arial" w:eastAsia="宋体" w:cs="Arial"/>
          <w:i w:val="0"/>
          <w:caps w:val="0"/>
          <w:color w:val="333333"/>
          <w:spacing w:val="0"/>
          <w:kern w:val="0"/>
          <w:sz w:val="27"/>
          <w:szCs w:val="27"/>
          <w:lang w:val="en-US" w:eastAsia="zh-CN" w:bidi="ar"/>
        </w:rPr>
        <w:t>  省、市食品药品监督管理局针对制剂室诚信情况和日常监督检查状况确定日常检查频次。省食品药品监督管理局不定期检查制剂室。设区市食品药品监督管理局对每个制剂室日常监督检查每年要二次以上。许可证有效期到期更换前要检查。许可内容变更需现场检查。质量抽查有问题的制剂室必须加大检查频次。监督检查情况每半年进行总结并上报省食品药品监督管理局。（汇总表见附件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第六条</w:t>
      </w:r>
      <w:r>
        <w:rPr>
          <w:rFonts w:hint="default" w:ascii="Arial" w:hAnsi="Arial" w:eastAsia="宋体" w:cs="Arial"/>
          <w:i w:val="0"/>
          <w:caps w:val="0"/>
          <w:color w:val="333333"/>
          <w:spacing w:val="0"/>
          <w:kern w:val="0"/>
          <w:sz w:val="27"/>
          <w:szCs w:val="27"/>
          <w:lang w:val="en-US" w:eastAsia="zh-CN" w:bidi="ar"/>
        </w:rPr>
        <w:t> 各级食品药品监督管理局应如实记录监督检查情况,建立一证一档日常监管档案,其主要内容为:</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（一）《医疗机构制剂许可证》登记、核发、换发、补发、变更、缴销等相关资料;</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二）制剂室的药检室负责人及质量管理组织负责人变更的备案资料。医疗机构填报一式三份(附件2)上报设区市食品药品监督管理局,设区市食品药品监督管理局初审后报省局审核后,一份交医疗机构,一份报省食品药品监督管理局备案,一份设区市食品药品监督管理局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三）制剂室的关键配制设施等条件发生变化的备案资料。制剂室的关键配制设施等条件发生变化的应按《医疗机构制剂配制监督管理办法(试行)》第二十五条规定备案,省食品药品监督管理局根据需要进行现场检查,其备案批件一式三份,一份交设区市食品药品监督管理局,一份交医疗机构,一份省食品药品监督管理局存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　　（四）医疗机构制剂品种调剂、委托配制审批资料,委托配制的受托方《药品生产许可证》和《药品GMP证书》或《医疗机构制剂许可证》;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（五）投诉核查记录;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（六）制剂质量事故调查处理报告;</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（七）县以上制剂质量抽验及不合格品追踪检查情况;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（八）违法、违规等不良行为记录。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第三章 监督检查程序和要求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第七条</w:t>
      </w:r>
      <w:r>
        <w:rPr>
          <w:rFonts w:hint="default" w:ascii="Arial" w:hAnsi="Arial" w:eastAsia="宋体" w:cs="Arial"/>
          <w:i w:val="0"/>
          <w:caps w:val="0"/>
          <w:color w:val="333333"/>
          <w:spacing w:val="0"/>
          <w:kern w:val="0"/>
          <w:sz w:val="27"/>
          <w:szCs w:val="27"/>
          <w:lang w:val="en-US" w:eastAsia="zh-CN" w:bidi="ar"/>
        </w:rPr>
        <w:t> 设区市、县(市)食品药品监督管理局应按照年度日常监督管理工作计划对辖区内医疗机构制剂室实施监督检查,监督检查完成后, 如实记录现场检查情况,提出整改内容及整改期限,检查结果以书面形式告知被检查单位,并实施追踪检查。将检查情况形成文字资料后,收入该配制单位日常监管档案。建立配制单位诚信档案。同时在《医疗机构制剂许可证》副本上简要载明检查情况,记载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（一）检查结论;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（二）配制的制剂是否发生质量事故,是否有不合格制剂受到制剂质量公报通告;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（三）制剂室是否有违法配制行为及查处情况;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（四）制剂室当年是否无配制制剂行为。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第八条</w:t>
      </w:r>
      <w:r>
        <w:rPr>
          <w:rFonts w:hint="default" w:ascii="Arial" w:hAnsi="Arial" w:eastAsia="宋体" w:cs="Arial"/>
          <w:i w:val="0"/>
          <w:caps w:val="0"/>
          <w:color w:val="333333"/>
          <w:spacing w:val="0"/>
          <w:kern w:val="0"/>
          <w:sz w:val="27"/>
          <w:szCs w:val="27"/>
          <w:lang w:val="en-US" w:eastAsia="zh-CN" w:bidi="ar"/>
        </w:rPr>
        <w:t> 具有以下情形之一的应当列为日常监督检查的重点:</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（一）涉及特殊药品配制的制剂室;</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（二）配制注射剂的医疗机构制剂室;</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（三）有品种调剂或委托配制的制剂室;</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（四）制剂室负责人变更或增加配制剂型的制剂室;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（五）药检室负责人及质量管理组织负责人有变更的制剂室;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（六） 关键配制设施等条件发生变化;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（七） 上年度出现配制质量问题的制剂室。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第九条</w:t>
      </w:r>
      <w:r>
        <w:rPr>
          <w:rFonts w:hint="default" w:ascii="Arial" w:hAnsi="Arial" w:eastAsia="宋体" w:cs="Arial"/>
          <w:i w:val="0"/>
          <w:caps w:val="0"/>
          <w:color w:val="333333"/>
          <w:spacing w:val="0"/>
          <w:kern w:val="0"/>
          <w:sz w:val="27"/>
          <w:szCs w:val="27"/>
          <w:lang w:val="en-US" w:eastAsia="zh-CN" w:bidi="ar"/>
        </w:rPr>
        <w:t> 有因监督检查的要求:</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一）各级食品药品监督管理局应在接到投诉后5个工作日内,对投诉内容进行核查,涉及制剂质量、现场管理、配制条件等问题的,需现场核查的应立即安排监督检查人员到现场检查,并填写《现场监督检查记录》（见附件3）。有违法行为的,应交由稽查部门查处。</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二）设区市食品药品监督管理局接到重大制剂配制质量事故报告后应立即报告省食品药品监督管理局,并立即到配制现场进行调查,查明发生经过、产生原因、事故责任及医疗机构整改措施。设区市食品药品监督管理局应将调查情况和处理意见在5个工作日内以书面形式报省食品药品监督管理局。省食品药品监督管理局必要时进行现场核查,并将处理结果向全省通报。</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三）设区市食品药品监督管理局应每年根据制剂质量抽验情况,对涉及本辖区配制的不合格制剂实施追踪检查,查明不合格品种、批号、项目、数量及产生原因、查处情况、整改措施,填写《不合格制剂处理情况追踪调查表》（见附件4）,并将汇总情况报省食品药品监督管理局。</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b/>
          <w:i w:val="0"/>
          <w:caps w:val="0"/>
          <w:color w:val="333333"/>
          <w:spacing w:val="0"/>
          <w:kern w:val="0"/>
          <w:sz w:val="27"/>
          <w:szCs w:val="27"/>
          <w:lang w:val="en-US" w:eastAsia="zh-CN" w:bidi="ar"/>
        </w:rPr>
        <w:t>第十条</w:t>
      </w:r>
      <w:r>
        <w:rPr>
          <w:rFonts w:hint="default" w:ascii="Arial" w:hAnsi="Arial" w:eastAsia="宋体" w:cs="Arial"/>
          <w:i w:val="0"/>
          <w:caps w:val="0"/>
          <w:color w:val="333333"/>
          <w:spacing w:val="0"/>
          <w:kern w:val="0"/>
          <w:sz w:val="27"/>
          <w:szCs w:val="27"/>
          <w:lang w:val="en-US" w:eastAsia="zh-CN" w:bidi="ar"/>
        </w:rPr>
        <w:t> 各级食品药品监督管理局实施现场监督检查时应制定检查方案,明确检查标准,检查人员不得少于2人,按照监督检查程序和检查方案实施。</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（一）出示《行政执法证》;</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（二）告知检查目的、检查范围、检查工作程序;</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（三）进行现场检查,如实记录,必要时取证;</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（四）汇总检查情况,做出明确的检查结论,并填写《现场监督检查记录》。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五）当场宣布检查结果及处理意见。经相对人核对无误后,监督检查人员、受检单位负责人或有关人员在《现场监督检查记录》上签字并各存一份;受检单位的负责人或有关人员拒绝签字的,应当由2名检查人员签字并注明情况;</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（六）现场检查中发现有违法、违规行为的,应填写《现场监督检查移交单》（见附件5）,对可能灭失或以后难以取证的证据,应现场予以取证或锁定,并及时移交所在地食品药品监管局稽查部门查处。</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b/>
          <w:i w:val="0"/>
          <w:caps w:val="0"/>
          <w:color w:val="333333"/>
          <w:spacing w:val="0"/>
          <w:kern w:val="0"/>
          <w:sz w:val="27"/>
          <w:szCs w:val="27"/>
          <w:lang w:val="en-US" w:eastAsia="zh-CN" w:bidi="ar"/>
        </w:rPr>
        <w:t>第十一条  </w:t>
      </w:r>
      <w:r>
        <w:rPr>
          <w:rFonts w:hint="default" w:ascii="Arial" w:hAnsi="Arial" w:eastAsia="宋体" w:cs="Arial"/>
          <w:i w:val="0"/>
          <w:caps w:val="0"/>
          <w:color w:val="333333"/>
          <w:spacing w:val="0"/>
          <w:kern w:val="0"/>
          <w:sz w:val="27"/>
          <w:szCs w:val="27"/>
          <w:lang w:val="en-US" w:eastAsia="zh-CN" w:bidi="ar"/>
        </w:rPr>
        <w:t>医疗机构制剂室不得拒绝食品药品监督管理部门依法进行的监督检查,不得编造虚假材料,隐瞒情况。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第十二条  </w:t>
      </w:r>
      <w:r>
        <w:rPr>
          <w:rFonts w:hint="default" w:ascii="Arial" w:hAnsi="Arial" w:eastAsia="宋体" w:cs="Arial"/>
          <w:i w:val="0"/>
          <w:caps w:val="0"/>
          <w:color w:val="333333"/>
          <w:spacing w:val="0"/>
          <w:kern w:val="0"/>
          <w:sz w:val="27"/>
          <w:szCs w:val="27"/>
          <w:lang w:val="en-US" w:eastAsia="zh-CN" w:bidi="ar"/>
        </w:rPr>
        <w:t>食品药品监督管理部门实施监督检查不得妨碍医疗机构的正常配制,并对医疗机构的技术、业务秘密负保密责任。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第十三条</w:t>
      </w:r>
      <w:r>
        <w:rPr>
          <w:rFonts w:hint="default" w:ascii="Arial" w:hAnsi="Arial" w:eastAsia="宋体" w:cs="Arial"/>
          <w:i w:val="0"/>
          <w:caps w:val="0"/>
          <w:color w:val="333333"/>
          <w:spacing w:val="0"/>
          <w:kern w:val="0"/>
          <w:sz w:val="27"/>
          <w:szCs w:val="27"/>
          <w:lang w:val="en-US" w:eastAsia="zh-CN" w:bidi="ar"/>
        </w:rPr>
        <w:t> 对日常监督管理中发现的问题,由设区市或县(市)食品药品监督管理局提出整改内容和期限,并负责监督落实;对依法应进行行政处罚的,交由稽查部门依法查处。</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r>
        <w:rPr>
          <w:rFonts w:hint="default" w:ascii="Arial" w:hAnsi="Arial" w:eastAsia="宋体" w:cs="Arial"/>
          <w:b/>
          <w:i w:val="0"/>
          <w:caps w:val="0"/>
          <w:color w:val="333333"/>
          <w:spacing w:val="0"/>
          <w:kern w:val="0"/>
          <w:sz w:val="27"/>
          <w:szCs w:val="27"/>
          <w:lang w:val="en-US" w:eastAsia="zh-CN" w:bidi="ar"/>
        </w:rPr>
        <w:t>第十四条</w:t>
      </w:r>
      <w:r>
        <w:rPr>
          <w:rFonts w:hint="default" w:ascii="Arial" w:hAnsi="Arial" w:eastAsia="宋体" w:cs="Arial"/>
          <w:i w:val="0"/>
          <w:caps w:val="0"/>
          <w:color w:val="333333"/>
          <w:spacing w:val="0"/>
          <w:kern w:val="0"/>
          <w:sz w:val="27"/>
          <w:szCs w:val="27"/>
          <w:lang w:val="en-US" w:eastAsia="zh-CN" w:bidi="ar"/>
        </w:rPr>
        <w:t> 出借许可证</w:t>
      </w:r>
      <w:r>
        <w:rPr>
          <w:rFonts w:hint="default" w:ascii="Arial" w:hAnsi="Arial" w:eastAsia="宋体" w:cs="Arial"/>
          <w:b/>
          <w:i w:val="0"/>
          <w:caps w:val="0"/>
          <w:color w:val="333333"/>
          <w:spacing w:val="0"/>
          <w:kern w:val="0"/>
          <w:sz w:val="27"/>
          <w:szCs w:val="27"/>
          <w:lang w:val="en-US" w:eastAsia="zh-CN" w:bidi="ar"/>
        </w:rPr>
        <w:t>、 </w:t>
      </w:r>
      <w:r>
        <w:rPr>
          <w:rFonts w:hint="default" w:ascii="Arial" w:hAnsi="Arial" w:eastAsia="宋体" w:cs="Arial"/>
          <w:i w:val="0"/>
          <w:caps w:val="0"/>
          <w:color w:val="333333"/>
          <w:spacing w:val="0"/>
          <w:kern w:val="0"/>
          <w:sz w:val="27"/>
          <w:szCs w:val="27"/>
          <w:lang w:val="en-US" w:eastAsia="zh-CN" w:bidi="ar"/>
        </w:rPr>
        <w:t>提供虚假材料或者其他欺骗手段取得《医疗机构制剂许可证》、医疗机构将其配制的制剂在市场销售,分别按《中华人民共和国药品管理法》第八十二条、第八十三条、第八十四条处理。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第十五条</w:t>
      </w:r>
      <w:r>
        <w:rPr>
          <w:rFonts w:hint="default" w:ascii="Arial" w:hAnsi="Arial" w:eastAsia="宋体" w:cs="Arial"/>
          <w:i w:val="0"/>
          <w:caps w:val="0"/>
          <w:color w:val="333333"/>
          <w:spacing w:val="0"/>
          <w:kern w:val="0"/>
          <w:sz w:val="27"/>
          <w:szCs w:val="27"/>
          <w:lang w:val="en-US" w:eastAsia="zh-CN" w:bidi="ar"/>
        </w:rPr>
        <w:t> 存在《中华人民共和国行政许可法》第七十条情形之一的,由省食品药品监督管理局依法注销《医疗机构制剂许可证》。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第十六条</w:t>
      </w:r>
      <w:r>
        <w:rPr>
          <w:rFonts w:hint="default" w:ascii="Arial" w:hAnsi="Arial" w:eastAsia="宋体" w:cs="Arial"/>
          <w:i w:val="0"/>
          <w:caps w:val="0"/>
          <w:color w:val="333333"/>
          <w:spacing w:val="0"/>
          <w:kern w:val="0"/>
          <w:sz w:val="27"/>
          <w:szCs w:val="27"/>
          <w:lang w:val="en-US" w:eastAsia="zh-CN" w:bidi="ar"/>
        </w:rPr>
        <w:t> 医疗机构制剂室应建立并执行制剂不良反应报告制度,如发生制剂严重不良反应,省食品药品监督管理局依法对其发生严重不良反应的制剂采取停止配制、使用的紧急控制措施。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第十七条</w:t>
      </w:r>
      <w:r>
        <w:rPr>
          <w:rFonts w:hint="default" w:ascii="Arial" w:hAnsi="Arial" w:eastAsia="宋体" w:cs="Arial"/>
          <w:i w:val="0"/>
          <w:caps w:val="0"/>
          <w:color w:val="333333"/>
          <w:spacing w:val="0"/>
          <w:kern w:val="0"/>
          <w:sz w:val="27"/>
          <w:szCs w:val="27"/>
          <w:lang w:val="en-US" w:eastAsia="zh-CN" w:bidi="ar"/>
        </w:rPr>
        <w:t> 本规定由福建省食品药品监督管理局负责解释。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b/>
          <w:i w:val="0"/>
          <w:caps w:val="0"/>
          <w:color w:val="333333"/>
          <w:spacing w:val="0"/>
          <w:kern w:val="0"/>
          <w:sz w:val="27"/>
          <w:szCs w:val="27"/>
          <w:lang w:val="en-US" w:eastAsia="zh-CN" w:bidi="ar"/>
        </w:rPr>
        <w:t>第十八条</w:t>
      </w:r>
      <w:r>
        <w:rPr>
          <w:rFonts w:hint="default" w:ascii="Arial" w:hAnsi="Arial" w:eastAsia="宋体" w:cs="Arial"/>
          <w:i w:val="0"/>
          <w:caps w:val="0"/>
          <w:color w:val="333333"/>
          <w:spacing w:val="0"/>
          <w:kern w:val="0"/>
          <w:sz w:val="27"/>
          <w:szCs w:val="27"/>
          <w:lang w:val="en-US" w:eastAsia="zh-CN" w:bidi="ar"/>
        </w:rPr>
        <w:t> 本规定自发布之日起实施。</w:t>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1、食品</w:t>
      </w:r>
      <w:r>
        <w:rPr>
          <w:rFonts w:hint="default" w:ascii="Arial" w:hAnsi="Arial" w:eastAsia="宋体" w:cs="Arial"/>
          <w:i w:val="0"/>
          <w:caps w:val="0"/>
          <w:color w:val="333333"/>
          <w:spacing w:val="0"/>
          <w:kern w:val="0"/>
          <w:sz w:val="27"/>
          <w:szCs w:val="27"/>
          <w:u w:val="none"/>
          <w:lang w:val="en-US" w:eastAsia="zh-CN" w:bidi="ar"/>
        </w:rPr>
        <w:fldChar w:fldCharType="begin"/>
      </w:r>
      <w:r>
        <w:rPr>
          <w:rFonts w:hint="default" w:ascii="Arial" w:hAnsi="Arial" w:eastAsia="宋体" w:cs="Arial"/>
          <w:i w:val="0"/>
          <w:caps w:val="0"/>
          <w:color w:val="333333"/>
          <w:spacing w:val="0"/>
          <w:kern w:val="0"/>
          <w:sz w:val="27"/>
          <w:szCs w:val="27"/>
          <w:u w:val="none"/>
          <w:lang w:val="en-US" w:eastAsia="zh-CN" w:bidi="ar"/>
        </w:rPr>
        <w:instrText xml:space="preserve"> HYPERLINK "http://www.jsfda.gov.cn/uploadfile/wj030431_f1.doc" \t "http://yjj.scjgj.fujian.gov.cn/zwgk/zfxxgkzl/zfxxgkml/zcgfwj/200901/_blank" </w:instrText>
      </w:r>
      <w:r>
        <w:rPr>
          <w:rFonts w:hint="default" w:ascii="Arial" w:hAnsi="Arial" w:eastAsia="宋体" w:cs="Arial"/>
          <w:i w:val="0"/>
          <w:caps w:val="0"/>
          <w:color w:val="333333"/>
          <w:spacing w:val="0"/>
          <w:kern w:val="0"/>
          <w:sz w:val="27"/>
          <w:szCs w:val="27"/>
          <w:u w:val="none"/>
          <w:lang w:val="en-US" w:eastAsia="zh-CN" w:bidi="ar"/>
        </w:rPr>
        <w:fldChar w:fldCharType="separate"/>
      </w:r>
      <w:r>
        <w:rPr>
          <w:rStyle w:val="6"/>
          <w:rFonts w:hint="default" w:ascii="Arial" w:hAnsi="Arial" w:eastAsia="宋体" w:cs="Arial"/>
          <w:i w:val="0"/>
          <w:caps w:val="0"/>
          <w:color w:val="333333"/>
          <w:spacing w:val="0"/>
          <w:sz w:val="27"/>
          <w:szCs w:val="27"/>
          <w:u w:val="none"/>
        </w:rPr>
        <w:t>药品监督管理局日常监督检查情况汇总表（半年报）</w:t>
      </w:r>
      <w:r>
        <w:rPr>
          <w:rFonts w:hint="default" w:ascii="Arial" w:hAnsi="Arial" w:eastAsia="宋体" w:cs="Arial"/>
          <w:i w:val="0"/>
          <w:caps w:val="0"/>
          <w:color w:val="333333"/>
          <w:spacing w:val="0"/>
          <w:kern w:val="0"/>
          <w:sz w:val="27"/>
          <w:szCs w:val="27"/>
          <w:u w:val="none"/>
          <w:lang w:val="en-US" w:eastAsia="zh-CN" w:bidi="ar"/>
        </w:rPr>
        <w:fldChar w:fldCharType="end"/>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2、医疗机构制剂室的药检室或质量管理组织负责人变更备案表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left"/>
        <w:rPr>
          <w:rFonts w:hint="default" w:ascii="Arial" w:hAnsi="Arial" w:cs="Arial"/>
          <w:i w:val="0"/>
          <w:caps w:val="0"/>
          <w:color w:val="333333"/>
          <w:spacing w:val="0"/>
          <w:sz w:val="27"/>
          <w:szCs w:val="27"/>
        </w:rPr>
      </w:pPr>
      <w:r>
        <w:rPr>
          <w:rFonts w:hint="default" w:ascii="Arial" w:hAnsi="Arial" w:eastAsia="宋体" w:cs="Arial"/>
          <w:i w:val="0"/>
          <w:caps w:val="0"/>
          <w:color w:val="333333"/>
          <w:spacing w:val="0"/>
          <w:kern w:val="0"/>
          <w:sz w:val="27"/>
          <w:szCs w:val="27"/>
          <w:lang w:val="en-US" w:eastAsia="zh-CN" w:bidi="ar"/>
        </w:rPr>
        <w:t>3、</w:t>
      </w:r>
      <w:r>
        <w:rPr>
          <w:rFonts w:hint="default" w:ascii="Arial" w:hAnsi="Arial" w:eastAsia="宋体" w:cs="Arial"/>
          <w:i w:val="0"/>
          <w:caps w:val="0"/>
          <w:color w:val="333333"/>
          <w:spacing w:val="0"/>
          <w:kern w:val="0"/>
          <w:sz w:val="27"/>
          <w:szCs w:val="27"/>
          <w:u w:val="none"/>
          <w:lang w:val="en-US" w:eastAsia="zh-CN" w:bidi="ar"/>
        </w:rPr>
        <w:fldChar w:fldCharType="begin"/>
      </w:r>
      <w:r>
        <w:rPr>
          <w:rFonts w:hint="default" w:ascii="Arial" w:hAnsi="Arial" w:eastAsia="宋体" w:cs="Arial"/>
          <w:i w:val="0"/>
          <w:caps w:val="0"/>
          <w:color w:val="333333"/>
          <w:spacing w:val="0"/>
          <w:kern w:val="0"/>
          <w:sz w:val="27"/>
          <w:szCs w:val="27"/>
          <w:u w:val="none"/>
          <w:lang w:val="en-US" w:eastAsia="zh-CN" w:bidi="ar"/>
        </w:rPr>
        <w:instrText xml:space="preserve"> HYPERLINK "http://www.jsfda.gov.cn/uploadfile/wj030431_f3.doc" \t "http://yjj.scjgj.fujian.gov.cn/zwgk/zfxxgkzl/zfxxgkml/zcgfwj/200901/_blank" </w:instrText>
      </w:r>
      <w:r>
        <w:rPr>
          <w:rFonts w:hint="default" w:ascii="Arial" w:hAnsi="Arial" w:eastAsia="宋体" w:cs="Arial"/>
          <w:i w:val="0"/>
          <w:caps w:val="0"/>
          <w:color w:val="333333"/>
          <w:spacing w:val="0"/>
          <w:kern w:val="0"/>
          <w:sz w:val="27"/>
          <w:szCs w:val="27"/>
          <w:u w:val="none"/>
          <w:lang w:val="en-US" w:eastAsia="zh-CN" w:bidi="ar"/>
        </w:rPr>
        <w:fldChar w:fldCharType="separate"/>
      </w:r>
      <w:r>
        <w:rPr>
          <w:rStyle w:val="6"/>
          <w:rFonts w:hint="default" w:ascii="Arial" w:hAnsi="Arial" w:eastAsia="宋体" w:cs="Arial"/>
          <w:i w:val="0"/>
          <w:caps w:val="0"/>
          <w:color w:val="333333"/>
          <w:spacing w:val="0"/>
          <w:sz w:val="27"/>
          <w:szCs w:val="27"/>
          <w:u w:val="none"/>
        </w:rPr>
        <w:t>现场监督检查记录</w:t>
      </w:r>
      <w:r>
        <w:rPr>
          <w:rFonts w:hint="default" w:ascii="Arial" w:hAnsi="Arial" w:eastAsia="宋体" w:cs="Arial"/>
          <w:i w:val="0"/>
          <w:caps w:val="0"/>
          <w:color w:val="333333"/>
          <w:spacing w:val="0"/>
          <w:kern w:val="0"/>
          <w:sz w:val="27"/>
          <w:szCs w:val="27"/>
          <w:u w:val="none"/>
          <w:lang w:val="en-US" w:eastAsia="zh-CN" w:bidi="ar"/>
        </w:rPr>
        <w:fldChar w:fldCharType="end"/>
      </w:r>
      <w:r>
        <w:rPr>
          <w:rFonts w:hint="default" w:ascii="Arial" w:hAnsi="Arial" w:eastAsia="宋体" w:cs="Arial"/>
          <w:i w:val="0"/>
          <w:caps w:val="0"/>
          <w:color w:val="333333"/>
          <w:spacing w:val="0"/>
          <w:kern w:val="0"/>
          <w:sz w:val="27"/>
          <w:szCs w:val="27"/>
          <w:lang w:val="en-US" w:eastAsia="zh-CN" w:bidi="ar"/>
        </w:rPr>
        <w:br w:type="textWrapping"/>
      </w:r>
      <w:r>
        <w:rPr>
          <w:rFonts w:hint="default" w:ascii="Arial" w:hAnsi="Arial" w:eastAsia="宋体" w:cs="Arial"/>
          <w:i w:val="0"/>
          <w:caps w:val="0"/>
          <w:color w:val="333333"/>
          <w:spacing w:val="0"/>
          <w:kern w:val="0"/>
          <w:sz w:val="27"/>
          <w:szCs w:val="27"/>
          <w:lang w:val="en-US" w:eastAsia="zh-CN" w:bidi="ar"/>
        </w:rPr>
        <w:t>4、</w:t>
      </w:r>
      <w:r>
        <w:rPr>
          <w:rFonts w:hint="default" w:ascii="Arial" w:hAnsi="Arial" w:eastAsia="宋体" w:cs="Arial"/>
          <w:i w:val="0"/>
          <w:caps w:val="0"/>
          <w:color w:val="333333"/>
          <w:spacing w:val="0"/>
          <w:kern w:val="0"/>
          <w:sz w:val="27"/>
          <w:szCs w:val="27"/>
          <w:u w:val="none"/>
          <w:lang w:val="en-US" w:eastAsia="zh-CN" w:bidi="ar"/>
        </w:rPr>
        <w:fldChar w:fldCharType="begin"/>
      </w:r>
      <w:r>
        <w:rPr>
          <w:rFonts w:hint="default" w:ascii="Arial" w:hAnsi="Arial" w:eastAsia="宋体" w:cs="Arial"/>
          <w:i w:val="0"/>
          <w:caps w:val="0"/>
          <w:color w:val="333333"/>
          <w:spacing w:val="0"/>
          <w:kern w:val="0"/>
          <w:sz w:val="27"/>
          <w:szCs w:val="27"/>
          <w:u w:val="none"/>
          <w:lang w:val="en-US" w:eastAsia="zh-CN" w:bidi="ar"/>
        </w:rPr>
        <w:instrText xml:space="preserve"> HYPERLINK "http://www.jsfda.gov.cn/uploadfile/wj030431_f2.doc" \t "http://yjj.scjgj.fujian.gov.cn/zwgk/zfxxgkzl/zfxxgkml/zcgfwj/200901/_blank" </w:instrText>
      </w:r>
      <w:r>
        <w:rPr>
          <w:rFonts w:hint="default" w:ascii="Arial" w:hAnsi="Arial" w:eastAsia="宋体" w:cs="Arial"/>
          <w:i w:val="0"/>
          <w:caps w:val="0"/>
          <w:color w:val="333333"/>
          <w:spacing w:val="0"/>
          <w:kern w:val="0"/>
          <w:sz w:val="27"/>
          <w:szCs w:val="27"/>
          <w:u w:val="none"/>
          <w:lang w:val="en-US" w:eastAsia="zh-CN" w:bidi="ar"/>
        </w:rPr>
        <w:fldChar w:fldCharType="separate"/>
      </w:r>
      <w:r>
        <w:rPr>
          <w:rStyle w:val="6"/>
          <w:rFonts w:hint="default" w:ascii="Arial" w:hAnsi="Arial" w:eastAsia="宋体" w:cs="Arial"/>
          <w:i w:val="0"/>
          <w:caps w:val="0"/>
          <w:color w:val="333333"/>
          <w:spacing w:val="0"/>
          <w:sz w:val="27"/>
          <w:szCs w:val="27"/>
          <w:u w:val="none"/>
        </w:rPr>
        <w:t>不合格制剂处理情况追踪调查表（半年报）</w:t>
      </w:r>
      <w:r>
        <w:rPr>
          <w:rFonts w:hint="default" w:ascii="Arial" w:hAnsi="Arial" w:eastAsia="宋体" w:cs="Arial"/>
          <w:i w:val="0"/>
          <w:caps w:val="0"/>
          <w:color w:val="333333"/>
          <w:spacing w:val="0"/>
          <w:kern w:val="0"/>
          <w:sz w:val="27"/>
          <w:szCs w:val="27"/>
          <w:u w:val="none"/>
          <w:lang w:val="en-US" w:eastAsia="zh-CN" w:bidi="ar"/>
        </w:rPr>
        <w:fldChar w:fldCharType="end"/>
      </w:r>
      <w:r>
        <w:rPr>
          <w:rFonts w:hint="default" w:ascii="Arial" w:hAnsi="Arial" w:eastAsia="宋体" w:cs="Arial"/>
          <w:i w:val="0"/>
          <w:caps w:val="0"/>
          <w:color w:val="333333"/>
          <w:spacing w:val="0"/>
          <w:kern w:val="0"/>
          <w:sz w:val="27"/>
          <w:szCs w:val="27"/>
          <w:lang w:val="en-US" w:eastAsia="zh-CN" w:bidi="ar"/>
        </w:rPr>
        <w:br w:type="textWrapping"/>
      </w:r>
      <w:bookmarkStart w:id="0" w:name="_GoBack"/>
      <w:bookmarkEnd w:id="0"/>
      <w:r>
        <w:rPr>
          <w:rFonts w:hint="default" w:ascii="Arial" w:hAnsi="Arial" w:eastAsia="宋体" w:cs="Arial"/>
          <w:i w:val="0"/>
          <w:caps w:val="0"/>
          <w:color w:val="333333"/>
          <w:spacing w:val="0"/>
          <w:kern w:val="0"/>
          <w:sz w:val="27"/>
          <w:szCs w:val="27"/>
          <w:lang w:val="en-US" w:eastAsia="zh-CN" w:bidi="ar"/>
        </w:rPr>
        <w:t>5、</w:t>
      </w:r>
      <w:r>
        <w:rPr>
          <w:rFonts w:hint="default" w:ascii="Arial" w:hAnsi="Arial" w:eastAsia="宋体" w:cs="Arial"/>
          <w:i w:val="0"/>
          <w:caps w:val="0"/>
          <w:color w:val="333333"/>
          <w:spacing w:val="0"/>
          <w:kern w:val="0"/>
          <w:sz w:val="27"/>
          <w:szCs w:val="27"/>
          <w:u w:val="none"/>
          <w:lang w:val="en-US" w:eastAsia="zh-CN" w:bidi="ar"/>
        </w:rPr>
        <w:fldChar w:fldCharType="begin"/>
      </w:r>
      <w:r>
        <w:rPr>
          <w:rFonts w:hint="default" w:ascii="Arial" w:hAnsi="Arial" w:eastAsia="宋体" w:cs="Arial"/>
          <w:i w:val="0"/>
          <w:caps w:val="0"/>
          <w:color w:val="333333"/>
          <w:spacing w:val="0"/>
          <w:kern w:val="0"/>
          <w:sz w:val="27"/>
          <w:szCs w:val="27"/>
          <w:u w:val="none"/>
          <w:lang w:val="en-US" w:eastAsia="zh-CN" w:bidi="ar"/>
        </w:rPr>
        <w:instrText xml:space="preserve"> HYPERLINK "http://www.jsfda.gov.cn/uploadfile/wj030431_f4.doc" \t "http://yjj.scjgj.fujian.gov.cn/zwgk/zfxxgkzl/zfxxgkml/zcgfwj/200901/_blank" </w:instrText>
      </w:r>
      <w:r>
        <w:rPr>
          <w:rFonts w:hint="default" w:ascii="Arial" w:hAnsi="Arial" w:eastAsia="宋体" w:cs="Arial"/>
          <w:i w:val="0"/>
          <w:caps w:val="0"/>
          <w:color w:val="333333"/>
          <w:spacing w:val="0"/>
          <w:kern w:val="0"/>
          <w:sz w:val="27"/>
          <w:szCs w:val="27"/>
          <w:u w:val="none"/>
          <w:lang w:val="en-US" w:eastAsia="zh-CN" w:bidi="ar"/>
        </w:rPr>
        <w:fldChar w:fldCharType="separate"/>
      </w:r>
      <w:r>
        <w:rPr>
          <w:rStyle w:val="6"/>
          <w:rFonts w:hint="default" w:ascii="Arial" w:hAnsi="Arial" w:eastAsia="宋体" w:cs="Arial"/>
          <w:i w:val="0"/>
          <w:caps w:val="0"/>
          <w:color w:val="333333"/>
          <w:spacing w:val="0"/>
          <w:sz w:val="27"/>
          <w:szCs w:val="27"/>
          <w:u w:val="none"/>
        </w:rPr>
        <w:t>现场监督检查移交单</w:t>
      </w:r>
      <w:r>
        <w:rPr>
          <w:rFonts w:hint="default" w:ascii="Arial" w:hAnsi="Arial" w:eastAsia="宋体" w:cs="Arial"/>
          <w:i w:val="0"/>
          <w:caps w:val="0"/>
          <w:color w:val="333333"/>
          <w:spacing w:val="0"/>
          <w:kern w:val="0"/>
          <w:sz w:val="27"/>
          <w:szCs w:val="27"/>
          <w:u w:val="non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4375F"/>
    <w:rsid w:val="C7FB8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陈茂盛</cp:lastModifiedBy>
  <dcterms:modified xsi:type="dcterms:W3CDTF">2023-10-10T23:27:16Z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